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655" w:rsidRDefault="003C2655" w:rsidP="003C2655">
      <w:pPr>
        <w:pStyle w:val="Heading1"/>
        <w:numPr>
          <w:ilvl w:val="0"/>
          <w:numId w:val="0"/>
        </w:numPr>
        <w:jc w:val="right"/>
        <w:rPr>
          <w:rFonts w:eastAsia="Times New Roman" w:cs="Arial"/>
          <w:caps w:val="0"/>
          <w:spacing w:val="0"/>
          <w:sz w:val="24"/>
          <w:szCs w:val="24"/>
        </w:rPr>
      </w:pPr>
      <w:r>
        <w:rPr>
          <w:rFonts w:eastAsia="Times New Roman" w:cs="Arial"/>
          <w:caps w:val="0"/>
          <w:spacing w:val="0"/>
          <w:sz w:val="24"/>
          <w:szCs w:val="24"/>
        </w:rPr>
        <w:t>(1002PAINT, 06/19/25)</w:t>
      </w:r>
    </w:p>
    <w:p w:rsidR="00E425B3" w:rsidRPr="003C2655" w:rsidRDefault="00E425B3" w:rsidP="003C2655">
      <w:pPr>
        <w:pStyle w:val="Heading1"/>
        <w:numPr>
          <w:ilvl w:val="0"/>
          <w:numId w:val="0"/>
        </w:numPr>
        <w:tabs>
          <w:tab w:val="clear" w:pos="1440"/>
          <w:tab w:val="left" w:pos="720"/>
          <w:tab w:val="left" w:pos="1170"/>
          <w:tab w:val="left" w:pos="1710"/>
          <w:tab w:val="left" w:pos="2430"/>
          <w:tab w:val="left" w:pos="2880"/>
        </w:tabs>
        <w:rPr>
          <w:rFonts w:eastAsia="Times New Roman" w:cs="Arial"/>
          <w:b w:val="0"/>
          <w:caps w:val="0"/>
          <w:spacing w:val="0"/>
          <w:sz w:val="24"/>
          <w:szCs w:val="24"/>
        </w:rPr>
      </w:pPr>
      <w:r w:rsidRPr="003C2655">
        <w:rPr>
          <w:rFonts w:eastAsia="Times New Roman" w:cs="Arial"/>
          <w:caps w:val="0"/>
          <w:spacing w:val="0"/>
          <w:sz w:val="24"/>
          <w:szCs w:val="24"/>
        </w:rPr>
        <w:t>SECTION 1002 PAINT</w:t>
      </w:r>
      <w:r w:rsidR="007657B5" w:rsidRPr="003C2655">
        <w:rPr>
          <w:rFonts w:eastAsia="Times New Roman" w:cs="Arial"/>
          <w:caps w:val="0"/>
          <w:spacing w:val="0"/>
          <w:sz w:val="24"/>
          <w:szCs w:val="24"/>
        </w:rPr>
        <w:t>:</w:t>
      </w:r>
      <w:r w:rsidR="007657B5" w:rsidRPr="003C2655">
        <w:rPr>
          <w:rFonts w:eastAsia="Times New Roman" w:cs="Arial"/>
          <w:b w:val="0"/>
          <w:caps w:val="0"/>
          <w:spacing w:val="0"/>
          <w:sz w:val="24"/>
          <w:szCs w:val="24"/>
        </w:rPr>
        <w:t xml:space="preserve"> of the Standard Specifications is revised to read:</w:t>
      </w: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1002-1</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General Requirements:</w:t>
      </w:r>
    </w:p>
    <w:p w:rsidR="00E425B3" w:rsidRPr="007657B5" w:rsidRDefault="00E425B3" w:rsidP="003C2655">
      <w:pPr>
        <w:tabs>
          <w:tab w:val="clear" w:pos="1080"/>
          <w:tab w:val="clear" w:pos="1440"/>
          <w:tab w:val="clear" w:pos="1800"/>
          <w:tab w:val="left" w:pos="1170"/>
          <w:tab w:val="left" w:pos="1710"/>
          <w:tab w:val="left" w:pos="2430"/>
          <w:tab w:val="left" w:pos="2880"/>
        </w:tabs>
        <w:spacing w:after="0"/>
        <w:rPr>
          <w:rFonts w:eastAsia="Times New Roman" w:cs="Arial"/>
          <w:spacing w:val="0"/>
          <w:sz w:val="24"/>
          <w:szCs w:val="24"/>
        </w:rPr>
      </w:pPr>
      <w:r w:rsidRPr="007657B5">
        <w:rPr>
          <w:rFonts w:eastAsia="Times New Roman" w:cs="Arial"/>
          <w:spacing w:val="0"/>
          <w:sz w:val="24"/>
          <w:szCs w:val="24"/>
        </w:rPr>
        <w:t>All paints specified herein shall be ready-mixed at the manufacturer's plant, except for inorganic zinc rich primer, which shall be mixed by the fabricator or at the project site just prior to application.  All paints shall be standard paint products of the manufacturer with published product data sheets and shall comply in all details with the specifications.</w:t>
      </w:r>
    </w:p>
    <w:p w:rsidR="00E425B3" w:rsidRPr="007657B5" w:rsidRDefault="00E425B3" w:rsidP="003C2655">
      <w:pPr>
        <w:tabs>
          <w:tab w:val="clear" w:pos="1080"/>
          <w:tab w:val="clear" w:pos="1440"/>
          <w:tab w:val="clear" w:pos="1800"/>
          <w:tab w:val="left" w:pos="1170"/>
          <w:tab w:val="left" w:pos="1710"/>
          <w:tab w:val="left" w:pos="2430"/>
          <w:tab w:val="left" w:pos="2880"/>
        </w:tabs>
        <w:spacing w:before="240"/>
        <w:rPr>
          <w:rFonts w:eastAsia="Times New Roman" w:cs="Arial"/>
          <w:spacing w:val="0"/>
          <w:sz w:val="24"/>
          <w:szCs w:val="24"/>
        </w:rPr>
      </w:pPr>
      <w:r w:rsidRPr="007657B5">
        <w:rPr>
          <w:rFonts w:eastAsia="Times New Roman" w:cs="Arial"/>
          <w:spacing w:val="0"/>
          <w:sz w:val="24"/>
          <w:szCs w:val="24"/>
        </w:rPr>
        <w:t>Ready-mixed paint shall be homogeneous, free of contaminants, and shall be of a consistency suitable for the use for which it is specified.  The pigment shall be finely ground and properly dispersed in the vehicle, according to the requirements for the type of paint, and this dispersion shall be such that the pigment does not settle appreciably, does not cake or thicken in the paint container, and does not become granular, jelled, or curdled.  Any settlement of pigment in the paint shall be easily dispersed with a paddle so as to produce a smooth uniform paint of the proper consistency.  The manufacturer shall include in the paint the necessary additives for control of sagging, leveling, drying, drier absorption, and skinning.</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Lead, lead compounds, soluble barium compounds, or hexavalent chromium compounds shall not be used as raw materials in the paint formulas specified under this section, and shall not be added to any paint formulas specified under this section.</w:t>
      </w:r>
      <w:bookmarkStart w:id="0" w:name="_GoBack"/>
      <w:bookmarkEnd w:id="0"/>
    </w:p>
    <w:p w:rsidR="00E425B3" w:rsidRPr="007657B5" w:rsidRDefault="00E425B3" w:rsidP="003C2655">
      <w:pPr>
        <w:tabs>
          <w:tab w:val="clear" w:pos="1080"/>
          <w:tab w:val="clear" w:pos="1440"/>
          <w:tab w:val="clear" w:pos="1800"/>
          <w:tab w:val="left" w:pos="1170"/>
          <w:tab w:val="left" w:pos="1710"/>
          <w:tab w:val="left" w:pos="2430"/>
          <w:tab w:val="left" w:pos="2880"/>
        </w:tabs>
        <w:spacing w:after="0"/>
        <w:rPr>
          <w:rFonts w:eastAsia="Times New Roman" w:cs="Arial"/>
          <w:spacing w:val="0"/>
          <w:sz w:val="24"/>
          <w:szCs w:val="24"/>
        </w:rPr>
      </w:pPr>
      <w:r w:rsidRPr="007657B5">
        <w:rPr>
          <w:rFonts w:eastAsia="Times New Roman" w:cs="Arial"/>
          <w:spacing w:val="0"/>
          <w:sz w:val="24"/>
          <w:szCs w:val="24"/>
        </w:rPr>
        <w:t>The use of halogenated solvents is not permitted.</w:t>
      </w:r>
    </w:p>
    <w:p w:rsidR="00E425B3" w:rsidRPr="007657B5" w:rsidRDefault="00E425B3" w:rsidP="003C2655">
      <w:pPr>
        <w:tabs>
          <w:tab w:val="clear" w:pos="1080"/>
          <w:tab w:val="clear" w:pos="1440"/>
          <w:tab w:val="clear" w:pos="1800"/>
          <w:tab w:val="left" w:pos="1170"/>
          <w:tab w:val="left" w:pos="1710"/>
          <w:tab w:val="left" w:pos="2430"/>
          <w:tab w:val="left" w:pos="2880"/>
        </w:tabs>
        <w:spacing w:before="240"/>
        <w:rPr>
          <w:rFonts w:eastAsia="Times New Roman" w:cs="Arial"/>
          <w:spacing w:val="0"/>
          <w:sz w:val="24"/>
          <w:szCs w:val="24"/>
        </w:rPr>
      </w:pPr>
      <w:r w:rsidRPr="007657B5">
        <w:rPr>
          <w:rFonts w:eastAsia="Times New Roman" w:cs="Arial"/>
          <w:spacing w:val="0"/>
          <w:sz w:val="24"/>
          <w:szCs w:val="24"/>
        </w:rPr>
        <w:t>Paint shall be furnished in new, unopened air-tight containers, which are clearly labeled with the exact title of the paint, Federal Specification number when applicable, name and address of the manufacturer, product code, date of paint manufacture, and the lot or batch number.  The containers shall meet U.S. Department of Transportation Hazardous Materials Shipping Regulations.  Precautions concerning the handling and the application of the paint shall be shown on the label of the paint containers.</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All of the paints of any coating system consisting of individual paints (such as a primer, intermediate coat, and topcoat), shall be made by the same manufacturer, and shall be designed and sold to be used together as a system.</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Only paints and paint systems approved in accordance with Subsection 1002-3 of the specifications and shown on the Department’s Approved Products List (APL) will be allowed for use.  Copies of the most current version of the APL are available on the Department’s website from the ADOT Research Center, through its Product Evaluation Program.  Paint supplied by an approved manufacturer with a different product code from that which was previously evaluated and approved will require evaluation to determine if it is acceptable.</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The contractor shall submit to the Engineer a Certificate of Compliance for each lot or batch of paint supplied, in accordance with Subsection 106.05 of the specifications, prior to its use.  Product data sheets listing the paint constituents and their proportions as well as Materials Safety Data Sheets (MSDS) are required for each paint material supplied prior to its use.</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All applicable governmental environmental regulations shall be adhered to during cleanup and for the disposal of unused paint.</w:t>
      </w: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1002-2</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Paint Types:</w:t>
      </w: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1002-2.01</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Three-Paint Coating System:</w:t>
      </w:r>
    </w:p>
    <w:p w:rsidR="00E425B3" w:rsidRPr="007657B5" w:rsidRDefault="00E425B3" w:rsidP="003C2655">
      <w:pPr>
        <w:pStyle w:val="ASub"/>
        <w:numPr>
          <w:ilvl w:val="0"/>
          <w:numId w:val="2"/>
        </w:numPr>
        <w:tabs>
          <w:tab w:val="clear" w:pos="1080"/>
          <w:tab w:val="clear" w:pos="1440"/>
          <w:tab w:val="left" w:pos="720"/>
          <w:tab w:val="left" w:pos="1170"/>
          <w:tab w:val="left" w:pos="1710"/>
          <w:tab w:val="left" w:pos="2430"/>
          <w:tab w:val="left" w:pos="2880"/>
        </w:tabs>
        <w:spacing w:before="240"/>
        <w:rPr>
          <w:rFonts w:cs="Arial"/>
          <w:b/>
          <w:bCs/>
          <w:sz w:val="24"/>
          <w:szCs w:val="24"/>
        </w:rPr>
      </w:pPr>
      <w:r w:rsidRPr="007657B5">
        <w:rPr>
          <w:rFonts w:cs="Arial"/>
          <w:b/>
          <w:bCs/>
          <w:sz w:val="24"/>
          <w:szCs w:val="24"/>
        </w:rPr>
        <w:tab/>
      </w:r>
      <w:r w:rsidRPr="003C2655">
        <w:rPr>
          <w:rFonts w:eastAsia="Times New Roman" w:cs="Arial"/>
          <w:b/>
          <w:spacing w:val="0"/>
          <w:sz w:val="24"/>
          <w:szCs w:val="24"/>
        </w:rPr>
        <w:t>General:</w:t>
      </w:r>
    </w:p>
    <w:p w:rsidR="00E425B3" w:rsidRPr="007657B5" w:rsidRDefault="00E425B3" w:rsidP="003C2655">
      <w:pPr>
        <w:tabs>
          <w:tab w:val="clear" w:pos="1080"/>
          <w:tab w:val="clear" w:pos="1440"/>
          <w:tab w:val="clear" w:pos="1800"/>
          <w:tab w:val="left" w:pos="1170"/>
          <w:tab w:val="left" w:pos="1710"/>
          <w:tab w:val="left" w:pos="2430"/>
          <w:tab w:val="left" w:pos="2880"/>
        </w:tabs>
        <w:spacing w:after="0"/>
        <w:rPr>
          <w:rFonts w:eastAsia="Times New Roman" w:cs="Arial"/>
          <w:spacing w:val="0"/>
          <w:sz w:val="24"/>
          <w:szCs w:val="24"/>
        </w:rPr>
      </w:pPr>
      <w:r w:rsidRPr="007657B5">
        <w:rPr>
          <w:rFonts w:eastAsia="Times New Roman" w:cs="Arial"/>
          <w:spacing w:val="0"/>
          <w:sz w:val="24"/>
          <w:szCs w:val="24"/>
        </w:rPr>
        <w:t xml:space="preserve">A three-paint coating system shall be for use on metallic surfaces, and shall include a primer (Paint Number 1), intermediate coat (Paint Number 2), and topcoat (Paint Number 3) from the same system.  All three paints shall be water-based, 100 percent acrylic (acrylic latex) paints, </w:t>
      </w:r>
      <w:r w:rsidRPr="007657B5">
        <w:rPr>
          <w:rFonts w:eastAsia="Times New Roman" w:cs="Arial"/>
          <w:spacing w:val="0"/>
          <w:sz w:val="24"/>
          <w:szCs w:val="24"/>
        </w:rPr>
        <w:lastRenderedPageBreak/>
        <w:t xml:space="preserve">unless a </w:t>
      </w:r>
      <w:proofErr w:type="spellStart"/>
      <w:r w:rsidRPr="007657B5">
        <w:rPr>
          <w:rFonts w:eastAsia="Times New Roman" w:cs="Arial"/>
          <w:spacing w:val="0"/>
          <w:sz w:val="24"/>
          <w:szCs w:val="24"/>
        </w:rPr>
        <w:t>non water</w:t>
      </w:r>
      <w:proofErr w:type="spellEnd"/>
      <w:r w:rsidRPr="007657B5">
        <w:rPr>
          <w:rFonts w:eastAsia="Times New Roman" w:cs="Arial"/>
          <w:spacing w:val="0"/>
          <w:sz w:val="24"/>
          <w:szCs w:val="24"/>
        </w:rPr>
        <w:t>-based primer is specified, in which case, the topcoat and intermediate coat must be a water-based acrylic paint.</w:t>
      </w:r>
    </w:p>
    <w:p w:rsidR="00E425B3" w:rsidRPr="007657B5" w:rsidRDefault="00E425B3" w:rsidP="003C2655">
      <w:pPr>
        <w:tabs>
          <w:tab w:val="clear" w:pos="1080"/>
          <w:tab w:val="clear" w:pos="1440"/>
          <w:tab w:val="clear" w:pos="1800"/>
          <w:tab w:val="left" w:pos="1170"/>
          <w:tab w:val="left" w:pos="1710"/>
          <w:tab w:val="left" w:pos="2430"/>
          <w:tab w:val="left" w:pos="2880"/>
        </w:tabs>
        <w:spacing w:before="240"/>
        <w:rPr>
          <w:rFonts w:eastAsia="Times New Roman" w:cs="Arial"/>
          <w:spacing w:val="0"/>
          <w:sz w:val="24"/>
          <w:szCs w:val="24"/>
        </w:rPr>
      </w:pPr>
      <w:r w:rsidRPr="007657B5">
        <w:rPr>
          <w:rFonts w:eastAsia="Times New Roman" w:cs="Arial"/>
          <w:spacing w:val="0"/>
          <w:sz w:val="24"/>
          <w:szCs w:val="24"/>
        </w:rPr>
        <w:t xml:space="preserve">Each individual paint shall conform to </w:t>
      </w:r>
      <w:proofErr w:type="gramStart"/>
      <w:r w:rsidRPr="007657B5">
        <w:rPr>
          <w:rFonts w:eastAsia="Times New Roman" w:cs="Arial"/>
          <w:spacing w:val="0"/>
          <w:sz w:val="24"/>
          <w:szCs w:val="24"/>
        </w:rPr>
        <w:t>all of the</w:t>
      </w:r>
      <w:proofErr w:type="gramEnd"/>
      <w:r w:rsidRPr="007657B5">
        <w:rPr>
          <w:rFonts w:eastAsia="Times New Roman" w:cs="Arial"/>
          <w:spacing w:val="0"/>
          <w:sz w:val="24"/>
          <w:szCs w:val="24"/>
        </w:rPr>
        <w:t xml:space="preserve"> chemical and physical characteristics and properties as declared on the manufacturer’s product data sheet.  In addition, the paint color shall be as specified in the project plans, and the consistency shall be in accordance with the manufacturer’s recommendations.  The contractor shall use the checking and calibration procedures found in ASTM D4212 and verify the paint consistency with the Engineer prior to each application.</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Each coating is intended for spray application.  Limited application can be made by brushing or rolling if approved by the Engineer.</w:t>
      </w:r>
    </w:p>
    <w:p w:rsidR="00E425B3" w:rsidRPr="007657B5" w:rsidRDefault="00E425B3" w:rsidP="003C2655">
      <w:pPr>
        <w:pStyle w:val="ASub"/>
        <w:tabs>
          <w:tab w:val="clear" w:pos="1080"/>
          <w:tab w:val="clear" w:pos="1440"/>
          <w:tab w:val="left" w:pos="720"/>
          <w:tab w:val="left" w:pos="1170"/>
          <w:tab w:val="left" w:pos="1710"/>
          <w:tab w:val="left" w:pos="2430"/>
          <w:tab w:val="left" w:pos="2880"/>
        </w:tabs>
        <w:rPr>
          <w:rFonts w:cs="Arial"/>
          <w:b/>
          <w:bCs/>
          <w:sz w:val="24"/>
          <w:szCs w:val="24"/>
        </w:rPr>
      </w:pPr>
      <w:r w:rsidRPr="007657B5">
        <w:rPr>
          <w:rFonts w:cs="Arial"/>
          <w:b/>
          <w:bCs/>
          <w:sz w:val="24"/>
          <w:szCs w:val="24"/>
        </w:rPr>
        <w:tab/>
      </w:r>
      <w:r w:rsidRPr="003C2655">
        <w:rPr>
          <w:rFonts w:eastAsia="Times New Roman" w:cs="Arial"/>
          <w:b/>
          <w:spacing w:val="0"/>
          <w:sz w:val="24"/>
          <w:szCs w:val="24"/>
        </w:rPr>
        <w:t>Paint Number 1 - Primer:</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This paint shall be used on blast cleaned steel surfaces for the first coat of a three-paint coating which must include Paint Number 2 and Paint Number 3 from the same system.</w:t>
      </w:r>
    </w:p>
    <w:p w:rsidR="00E425B3" w:rsidRPr="007657B5" w:rsidRDefault="00E425B3" w:rsidP="003C2655">
      <w:pPr>
        <w:pStyle w:val="ASub"/>
        <w:tabs>
          <w:tab w:val="clear" w:pos="1080"/>
          <w:tab w:val="clear" w:pos="1440"/>
          <w:tab w:val="left" w:pos="720"/>
          <w:tab w:val="left" w:pos="1170"/>
          <w:tab w:val="left" w:pos="1710"/>
          <w:tab w:val="left" w:pos="2430"/>
          <w:tab w:val="left" w:pos="2880"/>
        </w:tabs>
        <w:rPr>
          <w:rFonts w:cs="Arial"/>
          <w:b/>
          <w:bCs/>
          <w:sz w:val="24"/>
          <w:szCs w:val="24"/>
        </w:rPr>
      </w:pPr>
      <w:r w:rsidRPr="007657B5">
        <w:rPr>
          <w:rFonts w:cs="Arial"/>
          <w:b/>
          <w:bCs/>
          <w:sz w:val="24"/>
          <w:szCs w:val="24"/>
        </w:rPr>
        <w:tab/>
      </w:r>
      <w:r w:rsidRPr="003C2655">
        <w:rPr>
          <w:rFonts w:eastAsia="Times New Roman" w:cs="Arial"/>
          <w:b/>
          <w:spacing w:val="0"/>
          <w:sz w:val="24"/>
          <w:szCs w:val="24"/>
        </w:rPr>
        <w:t>Paint Number 2 - Intermediate Coat:</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This paint for intermediate coats shall be used on primed steel surfaces as the second coat of a three-paint coating system which must include Paint Number 1 and Paint Number 3 from the same system.  The paint shall be appropriately tinted to contrast with the prime coat.</w:t>
      </w:r>
    </w:p>
    <w:p w:rsidR="00E425B3" w:rsidRPr="007657B5" w:rsidRDefault="00E425B3" w:rsidP="003C2655">
      <w:pPr>
        <w:pStyle w:val="ASub"/>
        <w:tabs>
          <w:tab w:val="clear" w:pos="1080"/>
          <w:tab w:val="clear" w:pos="1440"/>
          <w:tab w:val="left" w:pos="720"/>
          <w:tab w:val="left" w:pos="1170"/>
          <w:tab w:val="left" w:pos="1710"/>
          <w:tab w:val="left" w:pos="2430"/>
          <w:tab w:val="left" w:pos="2880"/>
        </w:tabs>
        <w:rPr>
          <w:rFonts w:cs="Arial"/>
          <w:b/>
          <w:bCs/>
          <w:sz w:val="24"/>
          <w:szCs w:val="24"/>
        </w:rPr>
      </w:pPr>
      <w:r w:rsidRPr="007657B5">
        <w:rPr>
          <w:rFonts w:cs="Arial"/>
          <w:b/>
          <w:bCs/>
          <w:sz w:val="24"/>
          <w:szCs w:val="24"/>
        </w:rPr>
        <w:tab/>
      </w:r>
      <w:r w:rsidRPr="003C2655">
        <w:rPr>
          <w:rFonts w:eastAsia="Times New Roman" w:cs="Arial"/>
          <w:b/>
          <w:spacing w:val="0"/>
          <w:sz w:val="24"/>
          <w:szCs w:val="24"/>
        </w:rPr>
        <w:t>Paint Number 3 - Topcoat:</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Paint for topcoats shall be used as the third coat of a three-paint coating system which must include Paint Number 1 and Paint Number 2 from the same system.</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For topcoats, the gloss shall be as specified on the project plans.  The available colors for topcoats shall provide visual matches to the colors given in the Federal Standard No. 595.  The colors shall be available in high-gloss enamels, if required.</w:t>
      </w:r>
    </w:p>
    <w:p w:rsidR="003C2655" w:rsidRDefault="003C2655"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1002-2.02</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Zinc Rich Primer:</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 xml:space="preserve">Zinc-rich primer shall be a solvent based, one-part, </w:t>
      </w:r>
      <w:proofErr w:type="gramStart"/>
      <w:r w:rsidRPr="007657B5">
        <w:rPr>
          <w:rFonts w:eastAsia="Times New Roman" w:cs="Arial"/>
          <w:spacing w:val="0"/>
          <w:sz w:val="24"/>
          <w:szCs w:val="24"/>
        </w:rPr>
        <w:t>epoxy</w:t>
      </w:r>
      <w:proofErr w:type="gramEnd"/>
      <w:r w:rsidRPr="007657B5">
        <w:rPr>
          <w:rFonts w:eastAsia="Times New Roman" w:cs="Arial"/>
          <w:spacing w:val="0"/>
          <w:sz w:val="24"/>
          <w:szCs w:val="24"/>
        </w:rPr>
        <w:t xml:space="preserve"> ester, zinc-rich coating made to contain no less than 89 percent by weight of zinc dust in the dried film.  Zinc-rich primer is suitable for limited use on cuts, welds, or damaged galvanized surfaces, as needed to restore the continuity of cathodic protection.  Zinc-rich primer shall be certified by the manufacturer to be compatible with any suitable water-based acrylic finish paint.</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Zinc-rich primer shall be used where zinc paint is called for elsewhere in the specifications.</w:t>
      </w: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1002-2.03</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Inorganic Zinc-Rich Primer:</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Inorganic zinc-rich primer shall be a solvent-based three-component, inorganic, ethyl silicate, zinc-rich coating for use on steel surfaces which will be exposed to severely corrosive environments.  The primer shall be mixed in accordance with the manufacturer’s directions by the fabricator or at the project site just prior to application.  Inorganic zinc-rich primer shall be made to contain no less than 80 percent by weight of zinc dust in the dried film, and shall be certified by the manufacturer to form a strong bond to properly cleaned and prepared steel surfaces, either sandblasted or galvanized.  This primer shall also be certified by the manufacturer to be compatible with any suitable water-based acrylic finish paint.</w:t>
      </w: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1002-2.04</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Alkyd Primer:</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bookmarkStart w:id="1" w:name="_Hlk50515263"/>
      <w:r w:rsidRPr="007657B5">
        <w:rPr>
          <w:rFonts w:eastAsia="Times New Roman" w:cs="Arial"/>
          <w:spacing w:val="0"/>
          <w:sz w:val="24"/>
          <w:szCs w:val="24"/>
        </w:rPr>
        <w:t>Alkyd primer shall be solvent-based, and shall be designed for ferrous metal surfaces where there are rusting issues which rule out the use of a water-based primer.  Such surfaces may include ornamental iron, tanks, fabricated parts, handrails, and objects referred to as “black steel.”  Alkyd primer shall be certified by the manufacturer to be compatible with any suitable water-based acrylic finish paint.</w:t>
      </w:r>
      <w:bookmarkEnd w:id="1"/>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lastRenderedPageBreak/>
        <w:t>1002-2.05</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Direct-to-Metal (DTM) Combination Primer and Finish Paint:</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This paint shall be a water-based acrylic paint specially designed for use as a direct-to-metal (DTM) primer or combination primer and finish.  The product shall be certified by the manufacturer to form a strong bond to properly cleaned and prepared surfaces of structural steel and other metallic products such as metal buildings, tanks, and pipes.  It shall also be certified to bond with other properly cleaned and prepared surfaces such as galvanized steel, oil-based paints, and alkyd enamels.  When used on ferrous metal surfaces where there are rusting issues, the paint shall be rust-inhibitive.  Direct-to-metal combination primer and finish</w:t>
      </w:r>
      <w:r w:rsidRPr="007657B5">
        <w:rPr>
          <w:rFonts w:cs="Arial"/>
          <w:sz w:val="24"/>
          <w:szCs w:val="24"/>
        </w:rPr>
        <w:t xml:space="preserve"> </w:t>
      </w:r>
      <w:r w:rsidRPr="007657B5">
        <w:rPr>
          <w:rFonts w:eastAsia="Times New Roman" w:cs="Arial"/>
          <w:spacing w:val="0"/>
          <w:sz w:val="24"/>
          <w:szCs w:val="24"/>
        </w:rPr>
        <w:t>paints shall be designed to be usable as a complete two or three coat system.  When used as a primer only, the paint shall be certified by the manufacturer to be compatible with any suitable water-based acrylic finish paint.</w:t>
      </w: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1002-2.06</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Acrylic Emulsion Paint:</w:t>
      </w:r>
    </w:p>
    <w:p w:rsidR="00E425B3" w:rsidRPr="007657B5" w:rsidRDefault="00E425B3" w:rsidP="003C2655">
      <w:pPr>
        <w:tabs>
          <w:tab w:val="clear" w:pos="1080"/>
          <w:tab w:val="clear" w:pos="1440"/>
          <w:tab w:val="clear" w:pos="1800"/>
          <w:tab w:val="left" w:pos="1170"/>
          <w:tab w:val="left" w:pos="1710"/>
          <w:tab w:val="left" w:pos="2430"/>
          <w:tab w:val="left" w:pos="2880"/>
        </w:tabs>
        <w:spacing w:after="0"/>
        <w:rPr>
          <w:rFonts w:eastAsia="Times New Roman" w:cs="Arial"/>
          <w:spacing w:val="0"/>
          <w:sz w:val="24"/>
          <w:szCs w:val="24"/>
        </w:rPr>
      </w:pPr>
      <w:r w:rsidRPr="007657B5">
        <w:rPr>
          <w:rFonts w:eastAsia="Times New Roman" w:cs="Arial"/>
          <w:spacing w:val="0"/>
          <w:sz w:val="24"/>
          <w:szCs w:val="24"/>
        </w:rPr>
        <w:t>Acrylic emulsion paint shall be used on concrete and masonry surfaces, and shall be a water-based, 100 percent acrylic (acrylic latex) paint.</w:t>
      </w:r>
    </w:p>
    <w:p w:rsidR="00E425B3" w:rsidRPr="007657B5" w:rsidRDefault="00E425B3" w:rsidP="003C2655">
      <w:pPr>
        <w:tabs>
          <w:tab w:val="clear" w:pos="1080"/>
          <w:tab w:val="clear" w:pos="1440"/>
          <w:tab w:val="clear" w:pos="1800"/>
          <w:tab w:val="left" w:pos="1170"/>
          <w:tab w:val="left" w:pos="1710"/>
          <w:tab w:val="left" w:pos="2430"/>
          <w:tab w:val="left" w:pos="2880"/>
        </w:tabs>
        <w:spacing w:before="240"/>
        <w:rPr>
          <w:rFonts w:eastAsia="Times New Roman" w:cs="Arial"/>
          <w:spacing w:val="0"/>
          <w:sz w:val="24"/>
          <w:szCs w:val="24"/>
        </w:rPr>
      </w:pPr>
      <w:r w:rsidRPr="007657B5">
        <w:rPr>
          <w:rFonts w:eastAsia="Times New Roman" w:cs="Arial"/>
          <w:spacing w:val="0"/>
          <w:sz w:val="24"/>
          <w:szCs w:val="24"/>
        </w:rPr>
        <w:t xml:space="preserve">This paint may be </w:t>
      </w:r>
      <w:proofErr w:type="spellStart"/>
      <w:r w:rsidRPr="007657B5">
        <w:rPr>
          <w:rFonts w:eastAsia="Times New Roman" w:cs="Arial"/>
          <w:spacing w:val="0"/>
          <w:sz w:val="24"/>
          <w:szCs w:val="24"/>
        </w:rPr>
        <w:t>tinted</w:t>
      </w:r>
      <w:proofErr w:type="spellEnd"/>
      <w:r w:rsidRPr="007657B5">
        <w:rPr>
          <w:rFonts w:eastAsia="Times New Roman" w:cs="Arial"/>
          <w:spacing w:val="0"/>
          <w:sz w:val="24"/>
          <w:szCs w:val="24"/>
        </w:rPr>
        <w:t xml:space="preserve"> by using “Universal” or “all purpose” concentrates.</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 xml:space="preserve">The color of the final coat of paint shall be as indicated on the project plans.  If no color is specified on the plans, the paint color shall approximate that of paint color chip No. 30318, as specified by Federal Test Standard Number 595, when applied to either a concrete test specimen measuring 2 feet by 2 </w:t>
      </w:r>
      <w:proofErr w:type="gramStart"/>
      <w:r w:rsidRPr="007657B5">
        <w:rPr>
          <w:rFonts w:eastAsia="Times New Roman" w:cs="Arial"/>
          <w:spacing w:val="0"/>
          <w:sz w:val="24"/>
          <w:szCs w:val="24"/>
        </w:rPr>
        <w:t>feet,</w:t>
      </w:r>
      <w:proofErr w:type="gramEnd"/>
      <w:r w:rsidRPr="007657B5">
        <w:rPr>
          <w:rFonts w:eastAsia="Times New Roman" w:cs="Arial"/>
          <w:spacing w:val="0"/>
          <w:sz w:val="24"/>
          <w:szCs w:val="24"/>
        </w:rPr>
        <w:t xml:space="preserve"> or to the surface of the concrete structure to be painted.</w:t>
      </w:r>
    </w:p>
    <w:p w:rsidR="00E425B3" w:rsidRPr="007657B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The Engineer will determine color acceptance by visual inspection.</w:t>
      </w:r>
    </w:p>
    <w:p w:rsidR="00E425B3" w:rsidRPr="003C2655" w:rsidRDefault="00E425B3" w:rsidP="003C2655">
      <w:pPr>
        <w:pStyle w:val="Heading2"/>
        <w:tabs>
          <w:tab w:val="clear" w:pos="1440"/>
          <w:tab w:val="left" w:pos="720"/>
          <w:tab w:val="left" w:pos="1170"/>
          <w:tab w:val="left" w:pos="1710"/>
          <w:tab w:val="left" w:pos="2430"/>
          <w:tab w:val="left" w:pos="2880"/>
        </w:tabs>
        <w:ind w:left="1800" w:hanging="1800"/>
        <w:rPr>
          <w:rFonts w:eastAsia="Times New Roman" w:cs="Arial"/>
          <w:spacing w:val="0"/>
          <w:sz w:val="24"/>
          <w:szCs w:val="24"/>
        </w:rPr>
      </w:pPr>
      <w:r w:rsidRPr="003C2655">
        <w:rPr>
          <w:rFonts w:eastAsia="Times New Roman" w:cs="Arial"/>
          <w:spacing w:val="0"/>
          <w:sz w:val="24"/>
          <w:szCs w:val="24"/>
        </w:rPr>
        <w:t>1002-3</w:t>
      </w:r>
      <w:r w:rsidRPr="003C2655">
        <w:rPr>
          <w:rFonts w:eastAsia="Times New Roman" w:cs="Arial"/>
          <w:spacing w:val="0"/>
          <w:sz w:val="24"/>
          <w:szCs w:val="24"/>
        </w:rPr>
        <w:tab/>
      </w:r>
      <w:r w:rsidR="003C2655">
        <w:rPr>
          <w:rFonts w:eastAsia="Times New Roman" w:cs="Arial"/>
          <w:spacing w:val="0"/>
          <w:sz w:val="24"/>
          <w:szCs w:val="24"/>
        </w:rPr>
        <w:tab/>
      </w:r>
      <w:r w:rsidRPr="003C2655">
        <w:rPr>
          <w:rFonts w:eastAsia="Times New Roman" w:cs="Arial"/>
          <w:spacing w:val="0"/>
          <w:sz w:val="24"/>
          <w:szCs w:val="24"/>
        </w:rPr>
        <w:t>Sampling and Testing:</w:t>
      </w:r>
    </w:p>
    <w:p w:rsidR="00E425B3" w:rsidRPr="007657B5" w:rsidRDefault="00E425B3" w:rsidP="003C2655">
      <w:pPr>
        <w:pStyle w:val="ASub"/>
        <w:numPr>
          <w:ilvl w:val="0"/>
          <w:numId w:val="3"/>
        </w:numPr>
        <w:tabs>
          <w:tab w:val="clear" w:pos="1080"/>
          <w:tab w:val="clear" w:pos="1440"/>
          <w:tab w:val="left" w:pos="720"/>
          <w:tab w:val="left" w:pos="1170"/>
          <w:tab w:val="left" w:pos="1710"/>
          <w:tab w:val="left" w:pos="2430"/>
          <w:tab w:val="left" w:pos="2880"/>
        </w:tabs>
        <w:rPr>
          <w:rFonts w:cs="Arial"/>
          <w:b/>
          <w:bCs/>
          <w:sz w:val="24"/>
          <w:szCs w:val="24"/>
        </w:rPr>
      </w:pPr>
      <w:r w:rsidRPr="007657B5">
        <w:rPr>
          <w:rFonts w:cs="Arial"/>
          <w:b/>
          <w:bCs/>
          <w:sz w:val="24"/>
          <w:szCs w:val="24"/>
        </w:rPr>
        <w:tab/>
      </w:r>
      <w:r w:rsidRPr="003C2655">
        <w:rPr>
          <w:rFonts w:eastAsia="Times New Roman" w:cs="Arial"/>
          <w:b/>
          <w:spacing w:val="0"/>
          <w:sz w:val="24"/>
          <w:szCs w:val="24"/>
        </w:rPr>
        <w:t>General:</w:t>
      </w:r>
    </w:p>
    <w:p w:rsidR="00E425B3" w:rsidRDefault="00E425B3" w:rsidP="003C2655">
      <w:pPr>
        <w:tabs>
          <w:tab w:val="clear" w:pos="1080"/>
          <w:tab w:val="clear" w:pos="1440"/>
          <w:tab w:val="clear" w:pos="1800"/>
          <w:tab w:val="left" w:pos="1170"/>
          <w:tab w:val="left" w:pos="1710"/>
          <w:tab w:val="left" w:pos="2430"/>
          <w:tab w:val="left" w:pos="2880"/>
        </w:tabs>
        <w:spacing w:after="0"/>
        <w:rPr>
          <w:rFonts w:eastAsia="Times New Roman" w:cs="Arial"/>
          <w:spacing w:val="0"/>
          <w:sz w:val="24"/>
          <w:szCs w:val="24"/>
        </w:rPr>
      </w:pPr>
      <w:r w:rsidRPr="007657B5">
        <w:rPr>
          <w:rFonts w:eastAsia="Times New Roman" w:cs="Arial"/>
          <w:spacing w:val="0"/>
          <w:sz w:val="24"/>
          <w:szCs w:val="24"/>
        </w:rPr>
        <w:t>Any lot or batch of paint may, at any time, be sampled and tested for conformance to the specifications and the chemical and physical characteristics and properties as declared by the manufacturer on the product data sheets submitted with the original samples used in the evaluation and approval of the product.  Also, complete coating system samples may be required at any time for follow-up evaluation using the performance test method employed in the original evaluation for approval of the system.</w:t>
      </w:r>
    </w:p>
    <w:p w:rsidR="007657B5" w:rsidRPr="007657B5" w:rsidRDefault="007657B5" w:rsidP="003C2655">
      <w:pPr>
        <w:tabs>
          <w:tab w:val="clear" w:pos="1080"/>
          <w:tab w:val="clear" w:pos="1440"/>
          <w:tab w:val="clear" w:pos="1800"/>
          <w:tab w:val="left" w:pos="1170"/>
          <w:tab w:val="left" w:pos="1710"/>
          <w:tab w:val="left" w:pos="2430"/>
          <w:tab w:val="left" w:pos="2880"/>
        </w:tabs>
        <w:spacing w:after="0"/>
        <w:rPr>
          <w:rFonts w:eastAsia="Times New Roman" w:cs="Arial"/>
          <w:spacing w:val="0"/>
          <w:sz w:val="24"/>
          <w:szCs w:val="24"/>
        </w:rPr>
      </w:pPr>
    </w:p>
    <w:p w:rsidR="00E425B3" w:rsidRPr="007657B5" w:rsidRDefault="00E425B3" w:rsidP="003C2655">
      <w:pPr>
        <w:pStyle w:val="ASub"/>
        <w:numPr>
          <w:ilvl w:val="0"/>
          <w:numId w:val="3"/>
        </w:numPr>
        <w:tabs>
          <w:tab w:val="clear" w:pos="1080"/>
          <w:tab w:val="clear" w:pos="1440"/>
          <w:tab w:val="left" w:pos="720"/>
          <w:tab w:val="left" w:pos="1170"/>
          <w:tab w:val="left" w:pos="1710"/>
          <w:tab w:val="left" w:pos="2430"/>
          <w:tab w:val="left" w:pos="2880"/>
        </w:tabs>
        <w:rPr>
          <w:rFonts w:cs="Arial"/>
          <w:b/>
          <w:bCs/>
          <w:sz w:val="24"/>
          <w:szCs w:val="24"/>
        </w:rPr>
      </w:pPr>
      <w:r w:rsidRPr="007657B5">
        <w:rPr>
          <w:rFonts w:cs="Arial"/>
          <w:b/>
          <w:bCs/>
          <w:sz w:val="24"/>
          <w:szCs w:val="24"/>
        </w:rPr>
        <w:tab/>
      </w:r>
      <w:r w:rsidRPr="003C2655">
        <w:rPr>
          <w:rFonts w:eastAsia="Times New Roman" w:cs="Arial"/>
          <w:b/>
          <w:spacing w:val="0"/>
          <w:sz w:val="24"/>
          <w:szCs w:val="24"/>
        </w:rPr>
        <w:t xml:space="preserve">Coating Systems for Structural Steel and Other </w:t>
      </w:r>
      <w:r w:rsidRPr="003C2655">
        <w:rPr>
          <w:rFonts w:eastAsia="Times New Roman" w:cs="Arial"/>
          <w:b/>
          <w:spacing w:val="0"/>
          <w:sz w:val="24"/>
          <w:szCs w:val="24"/>
        </w:rPr>
        <w:tab/>
        <w:t>Metallic Surfaces</w:t>
      </w:r>
      <w:r w:rsidRPr="003C2655" w:rsidDel="00384C2A">
        <w:rPr>
          <w:rFonts w:eastAsia="Times New Roman" w:cs="Arial"/>
          <w:b/>
          <w:spacing w:val="0"/>
          <w:sz w:val="24"/>
          <w:szCs w:val="24"/>
        </w:rPr>
        <w:t xml:space="preserve"> </w:t>
      </w:r>
      <w:r w:rsidRPr="003C2655">
        <w:rPr>
          <w:rFonts w:eastAsia="Times New Roman" w:cs="Arial"/>
          <w:b/>
          <w:spacing w:val="0"/>
          <w:sz w:val="24"/>
          <w:szCs w:val="24"/>
        </w:rPr>
        <w:t>:</w:t>
      </w:r>
    </w:p>
    <w:p w:rsidR="00E425B3" w:rsidRPr="007657B5" w:rsidRDefault="00E425B3" w:rsidP="003C2655">
      <w:pPr>
        <w:tabs>
          <w:tab w:val="clear" w:pos="1080"/>
          <w:tab w:val="clear" w:pos="1440"/>
          <w:tab w:val="clear" w:pos="1800"/>
          <w:tab w:val="left" w:pos="1170"/>
          <w:tab w:val="left" w:pos="1710"/>
          <w:tab w:val="left" w:pos="2430"/>
          <w:tab w:val="left" w:pos="2880"/>
        </w:tabs>
        <w:spacing w:after="0"/>
        <w:rPr>
          <w:rFonts w:eastAsia="Times New Roman" w:cs="Arial"/>
          <w:spacing w:val="0"/>
          <w:sz w:val="24"/>
          <w:szCs w:val="24"/>
        </w:rPr>
      </w:pPr>
      <w:r w:rsidRPr="007657B5">
        <w:rPr>
          <w:rFonts w:eastAsia="Times New Roman" w:cs="Arial"/>
          <w:spacing w:val="0"/>
          <w:sz w:val="24"/>
          <w:szCs w:val="24"/>
        </w:rPr>
        <w:t>Coating systems composed of the paints specified in Subsections 1002-2.01 through 1002-2.05 of the specifications will be tested as complete systems applied to steel panels and weathered in accordance with ASTM G154, and exposure cycle number 4 of ASTM D4587, in the Q-U-V Accelerated Weathering Tester, utilizing UVB 313 lamps. Each system shall have an evaluation rating of 100 or greater after 2000 hours of weathering. The procedure is as follows:</w:t>
      </w:r>
    </w:p>
    <w:p w:rsidR="00E425B3" w:rsidRPr="007657B5" w:rsidRDefault="00E425B3" w:rsidP="003C2655">
      <w:pPr>
        <w:pStyle w:val="1Sub"/>
        <w:tabs>
          <w:tab w:val="clear" w:pos="1440"/>
          <w:tab w:val="left" w:pos="720"/>
          <w:tab w:val="left" w:pos="1170"/>
          <w:tab w:val="left" w:pos="1710"/>
          <w:tab w:val="left" w:pos="2430"/>
          <w:tab w:val="left" w:pos="2880"/>
        </w:tabs>
        <w:spacing w:before="240"/>
        <w:rPr>
          <w:rFonts w:eastAsia="Times New Roman" w:cs="Arial"/>
          <w:spacing w:val="0"/>
          <w:sz w:val="24"/>
          <w:szCs w:val="24"/>
        </w:rPr>
      </w:pPr>
      <w:r w:rsidRPr="007657B5">
        <w:rPr>
          <w:rFonts w:eastAsia="Times New Roman" w:cs="Arial"/>
          <w:spacing w:val="0"/>
          <w:sz w:val="24"/>
          <w:szCs w:val="24"/>
        </w:rPr>
        <w:t xml:space="preserve">Paint coatings will be applied to cold rolled steel panels (ASTM D609, Type 3, </w:t>
      </w:r>
      <w:proofErr w:type="gramStart"/>
      <w:r w:rsidRPr="007657B5">
        <w:rPr>
          <w:rFonts w:eastAsia="Times New Roman" w:cs="Arial"/>
          <w:spacing w:val="0"/>
          <w:sz w:val="24"/>
          <w:szCs w:val="24"/>
        </w:rPr>
        <w:t>ASTM</w:t>
      </w:r>
      <w:proofErr w:type="gramEnd"/>
      <w:r w:rsidRPr="007657B5">
        <w:rPr>
          <w:rFonts w:eastAsia="Times New Roman" w:cs="Arial"/>
          <w:spacing w:val="0"/>
          <w:sz w:val="24"/>
          <w:szCs w:val="24"/>
        </w:rPr>
        <w:t xml:space="preserve"> A366).  The paint will be thinned to 75 ± 2 Ku consistency using demineralized water.  Three coats, each approximately 2 mils thickness are applied to each of four panels according to ASTM D823.  The fourth coated panel from each set will be inscribed with an “X” cut to the steel substrate and extending across the entire coated area;</w:t>
      </w:r>
    </w:p>
    <w:p w:rsidR="00E425B3" w:rsidRPr="007657B5" w:rsidRDefault="00E425B3" w:rsidP="003C2655">
      <w:pPr>
        <w:pStyle w:val="1Sub"/>
        <w:tabs>
          <w:tab w:val="clear" w:pos="1440"/>
          <w:tab w:val="left" w:pos="720"/>
          <w:tab w:val="left" w:pos="1170"/>
          <w:tab w:val="left" w:pos="1710"/>
          <w:tab w:val="left" w:pos="2430"/>
          <w:tab w:val="left" w:pos="2880"/>
        </w:tabs>
        <w:spacing w:before="240"/>
        <w:rPr>
          <w:rFonts w:eastAsia="Times New Roman" w:cs="Arial"/>
          <w:spacing w:val="0"/>
          <w:sz w:val="24"/>
          <w:szCs w:val="24"/>
        </w:rPr>
      </w:pPr>
      <w:r w:rsidRPr="007657B5">
        <w:rPr>
          <w:rFonts w:eastAsia="Times New Roman" w:cs="Arial"/>
          <w:spacing w:val="0"/>
          <w:sz w:val="24"/>
          <w:szCs w:val="24"/>
        </w:rPr>
        <w:t>The exposure cycle used with the weathering tester shall be D = 8 h UV/60 degree C followed by 4 h CON/45 degree C.  One panel from each set of four shall be removed at 1000 hours and another at 1500 hours.  The last two panels shall be removed at 2000 hours;</w:t>
      </w:r>
    </w:p>
    <w:p w:rsidR="00E425B3" w:rsidRPr="007657B5" w:rsidRDefault="00E425B3" w:rsidP="003C2655">
      <w:pPr>
        <w:pStyle w:val="1Sub"/>
        <w:tabs>
          <w:tab w:val="clear" w:pos="1440"/>
          <w:tab w:val="left" w:pos="720"/>
          <w:tab w:val="left" w:pos="1170"/>
          <w:tab w:val="left" w:pos="1710"/>
          <w:tab w:val="left" w:pos="2430"/>
          <w:tab w:val="left" w:pos="2880"/>
        </w:tabs>
        <w:spacing w:before="240"/>
        <w:rPr>
          <w:rFonts w:eastAsia="Times New Roman" w:cs="Arial"/>
          <w:spacing w:val="0"/>
          <w:sz w:val="24"/>
          <w:szCs w:val="24"/>
        </w:rPr>
      </w:pPr>
      <w:r w:rsidRPr="007657B5">
        <w:rPr>
          <w:rFonts w:eastAsia="Times New Roman" w:cs="Arial"/>
          <w:spacing w:val="0"/>
          <w:sz w:val="24"/>
          <w:szCs w:val="24"/>
        </w:rPr>
        <w:t xml:space="preserve">Paint systems will be evaluated on the basis of six measures of degradation which may be found to occur under the conditions of exposure.  For each measure, a rating scale of one to five points will be applied.  A rating of one point indicates the poorest performance and five points indicate the best performance.  The rating from each measure is multiplied by a weighting factor which represents the relative importance of that measure.  The product is a score for that measure.  The sum of </w:t>
      </w:r>
      <w:r w:rsidRPr="007657B5">
        <w:rPr>
          <w:rFonts w:eastAsia="Times New Roman" w:cs="Arial"/>
          <w:spacing w:val="0"/>
          <w:sz w:val="24"/>
          <w:szCs w:val="24"/>
        </w:rPr>
        <w:lastRenderedPageBreak/>
        <w:t>the scores for all measures is the overall score for the system.  To be acceptable, paint systems shall have an overall score of 100 or higher;</w:t>
      </w:r>
    </w:p>
    <w:p w:rsidR="00E425B3" w:rsidRPr="007657B5" w:rsidRDefault="00E425B3" w:rsidP="003C2655">
      <w:pPr>
        <w:pStyle w:val="aSub0"/>
        <w:tabs>
          <w:tab w:val="clear" w:pos="1800"/>
          <w:tab w:val="left" w:pos="720"/>
          <w:tab w:val="left" w:pos="1170"/>
          <w:tab w:val="left" w:pos="1710"/>
          <w:tab w:val="left" w:pos="2430"/>
          <w:tab w:val="left" w:pos="2880"/>
        </w:tabs>
        <w:rPr>
          <w:rFonts w:cs="Arial"/>
          <w:sz w:val="24"/>
          <w:szCs w:val="24"/>
        </w:rPr>
      </w:pPr>
      <w:r w:rsidRPr="007657B5">
        <w:rPr>
          <w:rFonts w:eastAsia="Times New Roman" w:cs="Arial"/>
          <w:spacing w:val="0"/>
          <w:sz w:val="24"/>
          <w:szCs w:val="24"/>
        </w:rPr>
        <w:t>Cracking/Flaking: ASTM D660, ASTM D661, and ASTM D772 are used in combination to determine the rating scale.  A weighting factor of three will be applied to the results of these tests;</w:t>
      </w:r>
    </w:p>
    <w:p w:rsidR="00E425B3" w:rsidRPr="007657B5" w:rsidRDefault="00E425B3" w:rsidP="003C2655">
      <w:pPr>
        <w:pStyle w:val="aSub0"/>
        <w:tabs>
          <w:tab w:val="clear" w:pos="1800"/>
          <w:tab w:val="left" w:pos="72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Blistering/Flaking: ASTM D714 and ASTM D772 are used in combination to determine the rating scale.  A weighting factor of three will be applied to the results of these tests;</w:t>
      </w:r>
    </w:p>
    <w:p w:rsidR="00E425B3" w:rsidRPr="007657B5" w:rsidRDefault="00E425B3" w:rsidP="003C2655">
      <w:pPr>
        <w:pStyle w:val="aSub0"/>
        <w:tabs>
          <w:tab w:val="clear" w:pos="1800"/>
          <w:tab w:val="left" w:pos="720"/>
          <w:tab w:val="left" w:pos="1170"/>
          <w:tab w:val="left" w:pos="1710"/>
          <w:tab w:val="left" w:pos="2430"/>
          <w:tab w:val="left" w:pos="2880"/>
        </w:tabs>
        <w:rPr>
          <w:rFonts w:cs="Arial"/>
          <w:sz w:val="24"/>
          <w:szCs w:val="24"/>
        </w:rPr>
      </w:pPr>
      <w:r w:rsidRPr="007657B5">
        <w:rPr>
          <w:rFonts w:eastAsia="Times New Roman" w:cs="Arial"/>
          <w:spacing w:val="0"/>
          <w:sz w:val="24"/>
          <w:szCs w:val="24"/>
        </w:rPr>
        <w:t>Corrosion: A rating scale is derived from ASTM D610 for evaluating the degree of rusting.  A weighting factor of three will be applied to the results of this test;</w:t>
      </w:r>
    </w:p>
    <w:p w:rsidR="00E425B3" w:rsidRPr="007657B5" w:rsidRDefault="00E425B3" w:rsidP="003C2655">
      <w:pPr>
        <w:pStyle w:val="aSub0"/>
        <w:tabs>
          <w:tab w:val="clear" w:pos="1800"/>
          <w:tab w:val="left" w:pos="72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Chalking/Erosion: ASTM D4214 and ASTM D662 are used in combination to determine the rating scale. A weighting factor of three will be applied to the results of these tests;</w:t>
      </w:r>
    </w:p>
    <w:p w:rsidR="00E425B3" w:rsidRPr="007657B5" w:rsidRDefault="00E425B3" w:rsidP="003C2655">
      <w:pPr>
        <w:pStyle w:val="aSub0"/>
        <w:tabs>
          <w:tab w:val="clear" w:pos="1800"/>
          <w:tab w:val="left" w:pos="72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Adhesion: The tape test is based on ASTM D3359 and the rating scale is from the Classification of Adhesion Test Results under Test Method B. A weighting factor of five will be applied to the results of this test; and</w:t>
      </w:r>
    </w:p>
    <w:p w:rsidR="00E425B3" w:rsidRPr="007657B5" w:rsidRDefault="00E425B3" w:rsidP="003C2655">
      <w:pPr>
        <w:pStyle w:val="aSub0"/>
        <w:tabs>
          <w:tab w:val="clear" w:pos="1800"/>
          <w:tab w:val="left" w:pos="720"/>
          <w:tab w:val="left" w:pos="1170"/>
          <w:tab w:val="left" w:pos="1710"/>
          <w:tab w:val="left" w:pos="2430"/>
          <w:tab w:val="left" w:pos="2880"/>
        </w:tabs>
        <w:rPr>
          <w:rFonts w:eastAsia="Times New Roman" w:cs="Arial"/>
          <w:spacing w:val="0"/>
          <w:sz w:val="24"/>
          <w:szCs w:val="24"/>
        </w:rPr>
      </w:pPr>
      <w:r w:rsidRPr="007657B5">
        <w:rPr>
          <w:rFonts w:eastAsia="Times New Roman" w:cs="Arial"/>
          <w:spacing w:val="0"/>
          <w:sz w:val="24"/>
          <w:szCs w:val="24"/>
        </w:rPr>
        <w:t>Flexibility: ASTM D522, using a 1-1/4 inch mandrel, is employed to determine flexibility.  The degree of cracking observed after bending is used to determine the rating scale.  A weighting factor of five will be applied to the results of this test.</w:t>
      </w:r>
    </w:p>
    <w:p w:rsidR="00E425B3" w:rsidRPr="007657B5" w:rsidRDefault="00E425B3" w:rsidP="003C2655">
      <w:pPr>
        <w:pStyle w:val="ASub"/>
        <w:tabs>
          <w:tab w:val="clear" w:pos="1080"/>
          <w:tab w:val="clear" w:pos="1440"/>
          <w:tab w:val="left" w:pos="720"/>
          <w:tab w:val="left" w:pos="1170"/>
          <w:tab w:val="left" w:pos="1710"/>
          <w:tab w:val="left" w:pos="2430"/>
          <w:tab w:val="left" w:pos="2880"/>
        </w:tabs>
        <w:rPr>
          <w:rFonts w:cs="Arial"/>
          <w:b/>
          <w:bCs/>
          <w:sz w:val="24"/>
          <w:szCs w:val="24"/>
        </w:rPr>
      </w:pPr>
      <w:r w:rsidRPr="007657B5">
        <w:rPr>
          <w:rFonts w:cs="Arial"/>
          <w:b/>
          <w:bCs/>
          <w:sz w:val="24"/>
          <w:szCs w:val="24"/>
        </w:rPr>
        <w:tab/>
      </w:r>
      <w:r w:rsidRPr="003C2655">
        <w:rPr>
          <w:rFonts w:eastAsia="Times New Roman" w:cs="Arial"/>
          <w:b/>
          <w:spacing w:val="0"/>
          <w:sz w:val="24"/>
          <w:szCs w:val="24"/>
        </w:rPr>
        <w:t>Paint for Concrete and Masonry Surfaces:</w:t>
      </w:r>
    </w:p>
    <w:p w:rsidR="00E425B3" w:rsidRPr="003C265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3C2655">
        <w:rPr>
          <w:rFonts w:eastAsia="Times New Roman" w:cs="Arial"/>
          <w:spacing w:val="0"/>
          <w:sz w:val="24"/>
          <w:szCs w:val="24"/>
        </w:rPr>
        <w:t>Paint for concrete and masonry surfaces will be tested in accordance with the following procedures:</w:t>
      </w:r>
    </w:p>
    <w:p w:rsidR="00E425B3" w:rsidRPr="003C2655" w:rsidRDefault="00E425B3" w:rsidP="003C2655">
      <w:pPr>
        <w:pStyle w:val="1Sub"/>
        <w:tabs>
          <w:tab w:val="clear" w:pos="1440"/>
          <w:tab w:val="left" w:pos="720"/>
          <w:tab w:val="left" w:pos="1170"/>
          <w:tab w:val="left" w:pos="1710"/>
          <w:tab w:val="left" w:pos="2430"/>
          <w:tab w:val="left" w:pos="2880"/>
        </w:tabs>
        <w:ind w:left="1710" w:hanging="630"/>
        <w:rPr>
          <w:rFonts w:eastAsia="Times New Roman" w:cs="Arial"/>
          <w:b/>
          <w:spacing w:val="0"/>
          <w:sz w:val="24"/>
          <w:szCs w:val="24"/>
        </w:rPr>
      </w:pPr>
      <w:r w:rsidRPr="003C2655">
        <w:rPr>
          <w:rFonts w:eastAsia="Times New Roman" w:cs="Arial"/>
          <w:b/>
          <w:spacing w:val="0"/>
          <w:sz w:val="24"/>
          <w:szCs w:val="24"/>
        </w:rPr>
        <w:t>Resistance to Accelerated Weathering:</w:t>
      </w:r>
    </w:p>
    <w:p w:rsidR="00E425B3" w:rsidRPr="003C265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3C2655">
        <w:rPr>
          <w:rFonts w:eastAsia="Times New Roman" w:cs="Arial"/>
          <w:spacing w:val="0"/>
          <w:sz w:val="24"/>
          <w:szCs w:val="24"/>
        </w:rPr>
        <w:t>The paint will be applied to concrete mortar panels and weathered in a Q-U-V accelerated weathering tester, according to ASTM G154, for 2000 hours utilizing UVB-313 lamps, and exposure cycle number 4 of ASTM D4587.  The paint weathered in this manner shall show no appreciable change in color or appearance due to fading, chalking, or material reaction.</w:t>
      </w:r>
    </w:p>
    <w:p w:rsidR="00E425B3" w:rsidRPr="003C2655" w:rsidRDefault="00E425B3" w:rsidP="003C2655">
      <w:pPr>
        <w:pStyle w:val="1Sub"/>
        <w:tabs>
          <w:tab w:val="clear" w:pos="1440"/>
          <w:tab w:val="left" w:pos="720"/>
          <w:tab w:val="left" w:pos="1170"/>
          <w:tab w:val="left" w:pos="1710"/>
          <w:tab w:val="left" w:pos="2430"/>
          <w:tab w:val="left" w:pos="2880"/>
        </w:tabs>
        <w:ind w:left="1710" w:hanging="630"/>
        <w:rPr>
          <w:rFonts w:eastAsia="Times New Roman" w:cs="Arial"/>
          <w:b/>
          <w:spacing w:val="0"/>
          <w:sz w:val="24"/>
          <w:szCs w:val="24"/>
        </w:rPr>
      </w:pPr>
      <w:r w:rsidRPr="003C2655">
        <w:rPr>
          <w:rFonts w:eastAsia="Times New Roman" w:cs="Arial"/>
          <w:b/>
          <w:spacing w:val="0"/>
          <w:sz w:val="24"/>
          <w:szCs w:val="24"/>
        </w:rPr>
        <w:t>Adhesion:</w:t>
      </w:r>
    </w:p>
    <w:p w:rsidR="00E425B3" w:rsidRPr="003C2655" w:rsidRDefault="00E425B3" w:rsidP="003C2655">
      <w:pPr>
        <w:tabs>
          <w:tab w:val="clear" w:pos="1080"/>
          <w:tab w:val="clear" w:pos="1440"/>
          <w:tab w:val="clear" w:pos="1800"/>
          <w:tab w:val="left" w:pos="1170"/>
          <w:tab w:val="left" w:pos="1710"/>
          <w:tab w:val="left" w:pos="2430"/>
          <w:tab w:val="left" w:pos="2880"/>
        </w:tabs>
        <w:rPr>
          <w:rFonts w:eastAsia="Times New Roman" w:cs="Arial"/>
          <w:spacing w:val="0"/>
          <w:sz w:val="24"/>
          <w:szCs w:val="24"/>
        </w:rPr>
      </w:pPr>
      <w:r w:rsidRPr="003C2655">
        <w:rPr>
          <w:rFonts w:eastAsia="Times New Roman" w:cs="Arial"/>
          <w:spacing w:val="0"/>
          <w:sz w:val="24"/>
          <w:szCs w:val="24"/>
        </w:rPr>
        <w:t xml:space="preserve">The paint shall be applied to a concrete or masonry test surface approved by the Engineer, in accordance with the application plan specified in Subsection 610-3.03 of the specifications.  After a minimum period of 30 days of outdoor exposure, the adhesion of the paint will be measured.  Testing will be performed in accordance with the requirements of ASTM D4541, Method E, with </w:t>
      </w:r>
      <w:proofErr w:type="gramStart"/>
      <w:r w:rsidRPr="003C2655">
        <w:rPr>
          <w:rFonts w:eastAsia="Times New Roman" w:cs="Arial"/>
          <w:spacing w:val="0"/>
          <w:sz w:val="24"/>
          <w:szCs w:val="24"/>
        </w:rPr>
        <w:t>a strength</w:t>
      </w:r>
      <w:proofErr w:type="gramEnd"/>
      <w:r w:rsidRPr="003C2655">
        <w:rPr>
          <w:rFonts w:eastAsia="Times New Roman" w:cs="Arial"/>
          <w:spacing w:val="0"/>
          <w:sz w:val="24"/>
          <w:szCs w:val="24"/>
        </w:rPr>
        <w:t xml:space="preserve"> of at least 100 pounds per square inch being required.  In addition, testing will also be performed in accordance with the requirements of ASTM D3359, Method A, with a rating of 3A or higher being required.</w:t>
      </w:r>
    </w:p>
    <w:p w:rsidR="00535AAC" w:rsidRPr="007657B5" w:rsidRDefault="0008581A" w:rsidP="003C2655">
      <w:pPr>
        <w:tabs>
          <w:tab w:val="clear" w:pos="1080"/>
          <w:tab w:val="clear" w:pos="1440"/>
          <w:tab w:val="clear" w:pos="1800"/>
          <w:tab w:val="left" w:pos="1170"/>
          <w:tab w:val="left" w:pos="1710"/>
          <w:tab w:val="left" w:pos="2430"/>
          <w:tab w:val="left" w:pos="2880"/>
        </w:tabs>
        <w:rPr>
          <w:rFonts w:cs="Arial"/>
          <w:sz w:val="24"/>
          <w:szCs w:val="24"/>
        </w:rPr>
      </w:pPr>
    </w:p>
    <w:sectPr w:rsidR="00535AAC" w:rsidRPr="007657B5" w:rsidSect="003C2655">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655" w:rsidRDefault="003C2655" w:rsidP="003C2655">
      <w:pPr>
        <w:spacing w:after="0"/>
      </w:pPr>
      <w:r>
        <w:separator/>
      </w:r>
    </w:p>
  </w:endnote>
  <w:endnote w:type="continuationSeparator" w:id="0">
    <w:p w:rsidR="003C2655" w:rsidRDefault="003C2655" w:rsidP="003C2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55" w:rsidRPr="003C2655" w:rsidRDefault="003C2655" w:rsidP="003C2655">
    <w:pPr>
      <w:tabs>
        <w:tab w:val="clear" w:pos="360"/>
        <w:tab w:val="clear" w:pos="720"/>
        <w:tab w:val="clear" w:pos="1080"/>
        <w:tab w:val="clear" w:pos="1440"/>
        <w:tab w:val="clear" w:pos="1800"/>
        <w:tab w:val="clear" w:pos="2160"/>
        <w:tab w:val="clear" w:pos="2520"/>
        <w:tab w:val="center" w:pos="4320"/>
        <w:tab w:val="right" w:pos="8640"/>
      </w:tabs>
      <w:overflowPunct w:val="0"/>
      <w:autoSpaceDE w:val="0"/>
      <w:autoSpaceDN w:val="0"/>
      <w:adjustRightInd w:val="0"/>
      <w:spacing w:after="0"/>
      <w:jc w:val="right"/>
      <w:textAlignment w:val="baseline"/>
      <w:rPr>
        <w:rFonts w:eastAsia="Times New Roman" w:cs="Times New Roman"/>
        <w:spacing w:val="0"/>
        <w:sz w:val="18"/>
        <w:szCs w:val="18"/>
      </w:rPr>
    </w:pPr>
    <w:r>
      <w:rPr>
        <w:rFonts w:eastAsia="Times New Roman" w:cs="Times New Roman"/>
        <w:spacing w:val="0"/>
        <w:sz w:val="18"/>
        <w:szCs w:val="18"/>
      </w:rPr>
      <w:t>1002PAINT</w:t>
    </w:r>
    <w:r w:rsidRPr="003C2655">
      <w:rPr>
        <w:rFonts w:eastAsia="Times New Roman" w:cs="Times New Roman"/>
        <w:spacing w:val="0"/>
        <w:sz w:val="18"/>
        <w:szCs w:val="18"/>
      </w:rPr>
      <w:t xml:space="preserve"> - </w:t>
    </w:r>
    <w:r w:rsidRPr="003C2655">
      <w:rPr>
        <w:rFonts w:eastAsia="Times New Roman" w:cs="Times New Roman"/>
        <w:spacing w:val="0"/>
        <w:sz w:val="18"/>
        <w:szCs w:val="18"/>
      </w:rPr>
      <w:fldChar w:fldCharType="begin"/>
    </w:r>
    <w:r w:rsidRPr="003C2655">
      <w:rPr>
        <w:rFonts w:eastAsia="Times New Roman" w:cs="Times New Roman"/>
        <w:spacing w:val="0"/>
        <w:sz w:val="18"/>
        <w:szCs w:val="18"/>
      </w:rPr>
      <w:instrText xml:space="preserve"> PAGE </w:instrText>
    </w:r>
    <w:r w:rsidRPr="003C2655">
      <w:rPr>
        <w:rFonts w:eastAsia="Times New Roman" w:cs="Times New Roman"/>
        <w:spacing w:val="0"/>
        <w:sz w:val="18"/>
        <w:szCs w:val="18"/>
      </w:rPr>
      <w:fldChar w:fldCharType="separate"/>
    </w:r>
    <w:r>
      <w:rPr>
        <w:rFonts w:eastAsia="Times New Roman" w:cs="Times New Roman"/>
        <w:noProof/>
        <w:spacing w:val="0"/>
        <w:sz w:val="18"/>
        <w:szCs w:val="18"/>
      </w:rPr>
      <w:t>1</w:t>
    </w:r>
    <w:r w:rsidRPr="003C2655">
      <w:rPr>
        <w:rFonts w:eastAsia="Times New Roman" w:cs="Times New Roman"/>
        <w:spacing w:val="0"/>
        <w:sz w:val="18"/>
        <w:szCs w:val="18"/>
      </w:rPr>
      <w:fldChar w:fldCharType="end"/>
    </w:r>
    <w:r w:rsidRPr="003C2655">
      <w:rPr>
        <w:rFonts w:eastAsia="Times New Roman" w:cs="Times New Roman"/>
        <w:spacing w:val="0"/>
        <w:sz w:val="18"/>
        <w:szCs w:val="18"/>
      </w:rPr>
      <w:t>/</w:t>
    </w:r>
    <w:r w:rsidRPr="003C2655">
      <w:rPr>
        <w:rFonts w:eastAsia="Times New Roman" w:cs="Times New Roman"/>
        <w:spacing w:val="0"/>
        <w:sz w:val="18"/>
        <w:szCs w:val="18"/>
      </w:rPr>
      <w:fldChar w:fldCharType="begin"/>
    </w:r>
    <w:r w:rsidRPr="003C2655">
      <w:rPr>
        <w:rFonts w:eastAsia="Times New Roman" w:cs="Times New Roman"/>
        <w:spacing w:val="0"/>
        <w:sz w:val="18"/>
        <w:szCs w:val="18"/>
      </w:rPr>
      <w:instrText xml:space="preserve"> NUMPAGES  \* MERGEFORMAT </w:instrText>
    </w:r>
    <w:r w:rsidRPr="003C2655">
      <w:rPr>
        <w:rFonts w:eastAsia="Times New Roman" w:cs="Times New Roman"/>
        <w:spacing w:val="0"/>
        <w:sz w:val="18"/>
        <w:szCs w:val="18"/>
      </w:rPr>
      <w:fldChar w:fldCharType="separate"/>
    </w:r>
    <w:r>
      <w:rPr>
        <w:rFonts w:eastAsia="Times New Roman" w:cs="Times New Roman"/>
        <w:noProof/>
        <w:spacing w:val="0"/>
        <w:sz w:val="18"/>
        <w:szCs w:val="18"/>
      </w:rPr>
      <w:t>6</w:t>
    </w:r>
    <w:r w:rsidRPr="003C2655">
      <w:rPr>
        <w:rFonts w:eastAsia="Times New Roman" w:cs="Times New Roman"/>
        <w:spacing w:val="0"/>
        <w:sz w:val="18"/>
        <w:szCs w:val="18"/>
      </w:rPr>
      <w:fldChar w:fldCharType="end"/>
    </w:r>
  </w:p>
  <w:p w:rsidR="003C2655" w:rsidRDefault="003C2655" w:rsidP="003C265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655" w:rsidRDefault="003C2655" w:rsidP="003C2655">
      <w:pPr>
        <w:spacing w:after="0"/>
      </w:pPr>
      <w:r>
        <w:separator/>
      </w:r>
    </w:p>
  </w:footnote>
  <w:footnote w:type="continuationSeparator" w:id="0">
    <w:p w:rsidR="003C2655" w:rsidRDefault="003C2655" w:rsidP="003C26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951"/>
    <w:multiLevelType w:val="hybridMultilevel"/>
    <w:tmpl w:val="9BE0866C"/>
    <w:lvl w:ilvl="0" w:tplc="B79C65EC">
      <w:start w:val="1001"/>
      <mc:AlternateContent>
        <mc:Choice Requires="w14">
          <w:numFmt w:val="custom" w:format="001, 002, 003, ..."/>
        </mc:Choice>
        <mc:Fallback>
          <w:numFmt w:val="decimal"/>
        </mc:Fallback>
      </mc:AlternateContent>
      <w:pStyle w:val="Heading1"/>
      <w:lvlText w:val="SEC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4C147B"/>
    <w:multiLevelType w:val="multilevel"/>
    <w:tmpl w:val="0DBE77B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34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5B3"/>
    <w:rsid w:val="0008581A"/>
    <w:rsid w:val="003C2655"/>
    <w:rsid w:val="004952F1"/>
    <w:rsid w:val="007657B5"/>
    <w:rsid w:val="00DD1064"/>
    <w:rsid w:val="00E42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5B3"/>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E425B3"/>
    <w:pPr>
      <w:numPr>
        <w:numId w:val="4"/>
      </w:numPr>
      <w:tabs>
        <w:tab w:val="left" w:pos="1440"/>
      </w:tabs>
      <w:spacing w:before="480" w:after="240" w:line="240" w:lineRule="auto"/>
      <w:ind w:left="1440" w:hanging="1440"/>
      <w:outlineLvl w:val="0"/>
    </w:pPr>
    <w:rPr>
      <w:rFonts w:ascii="Arial" w:hAnsi="Arial"/>
      <w:b/>
      <w:caps/>
      <w:spacing w:val="20"/>
      <w:sz w:val="17"/>
    </w:rPr>
  </w:style>
  <w:style w:type="paragraph" w:styleId="Heading2">
    <w:name w:val="heading 2"/>
    <w:next w:val="Normal"/>
    <w:link w:val="Heading2Char"/>
    <w:uiPriority w:val="9"/>
    <w:unhideWhenUsed/>
    <w:qFormat/>
    <w:rsid w:val="00E425B3"/>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E425B3"/>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5B3"/>
    <w:rPr>
      <w:rFonts w:ascii="Arial" w:hAnsi="Arial"/>
      <w:b/>
      <w:caps/>
      <w:spacing w:val="20"/>
      <w:sz w:val="17"/>
    </w:rPr>
  </w:style>
  <w:style w:type="character" w:customStyle="1" w:styleId="Heading2Char">
    <w:name w:val="Heading 2 Char"/>
    <w:basedOn w:val="DefaultParagraphFont"/>
    <w:link w:val="Heading2"/>
    <w:uiPriority w:val="9"/>
    <w:rsid w:val="00E425B3"/>
    <w:rPr>
      <w:rFonts w:ascii="Arial" w:hAnsi="Arial"/>
      <w:b/>
      <w:spacing w:val="20"/>
      <w:sz w:val="17"/>
    </w:rPr>
  </w:style>
  <w:style w:type="character" w:customStyle="1" w:styleId="Heading3Char">
    <w:name w:val="Heading 3 Char"/>
    <w:basedOn w:val="DefaultParagraphFont"/>
    <w:link w:val="Heading3"/>
    <w:uiPriority w:val="9"/>
    <w:rsid w:val="00E425B3"/>
    <w:rPr>
      <w:rFonts w:ascii="Arial" w:hAnsi="Arial"/>
      <w:b/>
      <w:spacing w:val="20"/>
      <w:sz w:val="17"/>
    </w:rPr>
  </w:style>
  <w:style w:type="paragraph" w:customStyle="1" w:styleId="ASub">
    <w:name w:val="(A) Sub"/>
    <w:link w:val="ASubChar"/>
    <w:qFormat/>
    <w:rsid w:val="00E425B3"/>
    <w:pPr>
      <w:numPr>
        <w:numId w:val="1"/>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E425B3"/>
    <w:pPr>
      <w:numPr>
        <w:ilvl w:val="1"/>
        <w:numId w:val="1"/>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E425B3"/>
    <w:pPr>
      <w:numPr>
        <w:ilvl w:val="2"/>
        <w:numId w:val="1"/>
      </w:numPr>
      <w:tabs>
        <w:tab w:val="left" w:pos="1800"/>
      </w:tabs>
      <w:spacing w:after="240" w:line="240" w:lineRule="auto"/>
      <w:jc w:val="both"/>
    </w:pPr>
    <w:rPr>
      <w:rFonts w:ascii="Arial" w:hAnsi="Arial"/>
      <w:spacing w:val="20"/>
      <w:sz w:val="17"/>
    </w:rPr>
  </w:style>
  <w:style w:type="paragraph" w:customStyle="1" w:styleId="iSub">
    <w:name w:val="(i) Sub"/>
    <w:qFormat/>
    <w:rsid w:val="00E425B3"/>
    <w:pPr>
      <w:numPr>
        <w:ilvl w:val="3"/>
        <w:numId w:val="1"/>
      </w:numPr>
      <w:tabs>
        <w:tab w:val="left" w:pos="2160"/>
      </w:tabs>
      <w:spacing w:after="240" w:line="240" w:lineRule="auto"/>
      <w:ind w:left="2160"/>
      <w:jc w:val="both"/>
    </w:pPr>
    <w:rPr>
      <w:rFonts w:ascii="Arial" w:hAnsi="Arial"/>
      <w:spacing w:val="20"/>
      <w:sz w:val="17"/>
    </w:rPr>
  </w:style>
  <w:style w:type="character" w:customStyle="1" w:styleId="ASubChar">
    <w:name w:val="(A) Sub Char"/>
    <w:basedOn w:val="DefaultParagraphFont"/>
    <w:link w:val="ASub"/>
    <w:rsid w:val="00E425B3"/>
    <w:rPr>
      <w:rFonts w:ascii="Arial" w:hAnsi="Arial"/>
      <w:spacing w:val="20"/>
      <w:sz w:val="17"/>
    </w:rPr>
  </w:style>
  <w:style w:type="character" w:customStyle="1" w:styleId="1SubChar">
    <w:name w:val="(1) Sub Char"/>
    <w:basedOn w:val="ASubChar"/>
    <w:link w:val="1Sub"/>
    <w:rsid w:val="00E425B3"/>
    <w:rPr>
      <w:rFonts w:ascii="Arial" w:hAnsi="Arial"/>
      <w:spacing w:val="20"/>
      <w:sz w:val="17"/>
    </w:rPr>
  </w:style>
  <w:style w:type="character" w:customStyle="1" w:styleId="aSubChar0">
    <w:name w:val="(a) Sub Char"/>
    <w:basedOn w:val="1SubChar"/>
    <w:link w:val="aSub0"/>
    <w:rsid w:val="00E425B3"/>
    <w:rPr>
      <w:rFonts w:ascii="Arial" w:hAnsi="Arial"/>
      <w:spacing w:val="20"/>
      <w:sz w:val="17"/>
    </w:rPr>
  </w:style>
  <w:style w:type="paragraph" w:styleId="Header">
    <w:name w:val="header"/>
    <w:basedOn w:val="Normal"/>
    <w:link w:val="HeaderChar"/>
    <w:uiPriority w:val="99"/>
    <w:unhideWhenUsed/>
    <w:rsid w:val="003C2655"/>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3C2655"/>
    <w:rPr>
      <w:rFonts w:ascii="Arial" w:hAnsi="Arial"/>
      <w:spacing w:val="20"/>
      <w:sz w:val="17"/>
    </w:rPr>
  </w:style>
  <w:style w:type="paragraph" w:styleId="Footer">
    <w:name w:val="footer"/>
    <w:basedOn w:val="Normal"/>
    <w:link w:val="FooterChar"/>
    <w:uiPriority w:val="99"/>
    <w:unhideWhenUsed/>
    <w:rsid w:val="003C2655"/>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3C2655"/>
    <w:rPr>
      <w:rFonts w:ascii="Arial" w:hAnsi="Arial"/>
      <w:spacing w:val="20"/>
      <w:sz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5B3"/>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E425B3"/>
    <w:pPr>
      <w:numPr>
        <w:numId w:val="4"/>
      </w:numPr>
      <w:tabs>
        <w:tab w:val="left" w:pos="1440"/>
      </w:tabs>
      <w:spacing w:before="480" w:after="240" w:line="240" w:lineRule="auto"/>
      <w:ind w:left="1440" w:hanging="1440"/>
      <w:outlineLvl w:val="0"/>
    </w:pPr>
    <w:rPr>
      <w:rFonts w:ascii="Arial" w:hAnsi="Arial"/>
      <w:b/>
      <w:caps/>
      <w:spacing w:val="20"/>
      <w:sz w:val="17"/>
    </w:rPr>
  </w:style>
  <w:style w:type="paragraph" w:styleId="Heading2">
    <w:name w:val="heading 2"/>
    <w:next w:val="Normal"/>
    <w:link w:val="Heading2Char"/>
    <w:uiPriority w:val="9"/>
    <w:unhideWhenUsed/>
    <w:qFormat/>
    <w:rsid w:val="00E425B3"/>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E425B3"/>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5B3"/>
    <w:rPr>
      <w:rFonts w:ascii="Arial" w:hAnsi="Arial"/>
      <w:b/>
      <w:caps/>
      <w:spacing w:val="20"/>
      <w:sz w:val="17"/>
    </w:rPr>
  </w:style>
  <w:style w:type="character" w:customStyle="1" w:styleId="Heading2Char">
    <w:name w:val="Heading 2 Char"/>
    <w:basedOn w:val="DefaultParagraphFont"/>
    <w:link w:val="Heading2"/>
    <w:uiPriority w:val="9"/>
    <w:rsid w:val="00E425B3"/>
    <w:rPr>
      <w:rFonts w:ascii="Arial" w:hAnsi="Arial"/>
      <w:b/>
      <w:spacing w:val="20"/>
      <w:sz w:val="17"/>
    </w:rPr>
  </w:style>
  <w:style w:type="character" w:customStyle="1" w:styleId="Heading3Char">
    <w:name w:val="Heading 3 Char"/>
    <w:basedOn w:val="DefaultParagraphFont"/>
    <w:link w:val="Heading3"/>
    <w:uiPriority w:val="9"/>
    <w:rsid w:val="00E425B3"/>
    <w:rPr>
      <w:rFonts w:ascii="Arial" w:hAnsi="Arial"/>
      <w:b/>
      <w:spacing w:val="20"/>
      <w:sz w:val="17"/>
    </w:rPr>
  </w:style>
  <w:style w:type="paragraph" w:customStyle="1" w:styleId="ASub">
    <w:name w:val="(A) Sub"/>
    <w:link w:val="ASubChar"/>
    <w:qFormat/>
    <w:rsid w:val="00E425B3"/>
    <w:pPr>
      <w:numPr>
        <w:numId w:val="1"/>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E425B3"/>
    <w:pPr>
      <w:numPr>
        <w:ilvl w:val="1"/>
        <w:numId w:val="1"/>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E425B3"/>
    <w:pPr>
      <w:numPr>
        <w:ilvl w:val="2"/>
        <w:numId w:val="1"/>
      </w:numPr>
      <w:tabs>
        <w:tab w:val="left" w:pos="1800"/>
      </w:tabs>
      <w:spacing w:after="240" w:line="240" w:lineRule="auto"/>
      <w:jc w:val="both"/>
    </w:pPr>
    <w:rPr>
      <w:rFonts w:ascii="Arial" w:hAnsi="Arial"/>
      <w:spacing w:val="20"/>
      <w:sz w:val="17"/>
    </w:rPr>
  </w:style>
  <w:style w:type="paragraph" w:customStyle="1" w:styleId="iSub">
    <w:name w:val="(i) Sub"/>
    <w:qFormat/>
    <w:rsid w:val="00E425B3"/>
    <w:pPr>
      <w:numPr>
        <w:ilvl w:val="3"/>
        <w:numId w:val="1"/>
      </w:numPr>
      <w:tabs>
        <w:tab w:val="left" w:pos="2160"/>
      </w:tabs>
      <w:spacing w:after="240" w:line="240" w:lineRule="auto"/>
      <w:ind w:left="2160"/>
      <w:jc w:val="both"/>
    </w:pPr>
    <w:rPr>
      <w:rFonts w:ascii="Arial" w:hAnsi="Arial"/>
      <w:spacing w:val="20"/>
      <w:sz w:val="17"/>
    </w:rPr>
  </w:style>
  <w:style w:type="character" w:customStyle="1" w:styleId="ASubChar">
    <w:name w:val="(A) Sub Char"/>
    <w:basedOn w:val="DefaultParagraphFont"/>
    <w:link w:val="ASub"/>
    <w:rsid w:val="00E425B3"/>
    <w:rPr>
      <w:rFonts w:ascii="Arial" w:hAnsi="Arial"/>
      <w:spacing w:val="20"/>
      <w:sz w:val="17"/>
    </w:rPr>
  </w:style>
  <w:style w:type="character" w:customStyle="1" w:styleId="1SubChar">
    <w:name w:val="(1) Sub Char"/>
    <w:basedOn w:val="ASubChar"/>
    <w:link w:val="1Sub"/>
    <w:rsid w:val="00E425B3"/>
    <w:rPr>
      <w:rFonts w:ascii="Arial" w:hAnsi="Arial"/>
      <w:spacing w:val="20"/>
      <w:sz w:val="17"/>
    </w:rPr>
  </w:style>
  <w:style w:type="character" w:customStyle="1" w:styleId="aSubChar0">
    <w:name w:val="(a) Sub Char"/>
    <w:basedOn w:val="1SubChar"/>
    <w:link w:val="aSub0"/>
    <w:rsid w:val="00E425B3"/>
    <w:rPr>
      <w:rFonts w:ascii="Arial" w:hAnsi="Arial"/>
      <w:spacing w:val="20"/>
      <w:sz w:val="17"/>
    </w:rPr>
  </w:style>
  <w:style w:type="paragraph" w:styleId="Header">
    <w:name w:val="header"/>
    <w:basedOn w:val="Normal"/>
    <w:link w:val="HeaderChar"/>
    <w:uiPriority w:val="99"/>
    <w:unhideWhenUsed/>
    <w:rsid w:val="003C2655"/>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3C2655"/>
    <w:rPr>
      <w:rFonts w:ascii="Arial" w:hAnsi="Arial"/>
      <w:spacing w:val="20"/>
      <w:sz w:val="17"/>
    </w:rPr>
  </w:style>
  <w:style w:type="paragraph" w:styleId="Footer">
    <w:name w:val="footer"/>
    <w:basedOn w:val="Normal"/>
    <w:link w:val="FooterChar"/>
    <w:uiPriority w:val="99"/>
    <w:unhideWhenUsed/>
    <w:rsid w:val="003C2655"/>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3C2655"/>
    <w:rPr>
      <w:rFonts w:ascii="Arial" w:hAnsi="Arial"/>
      <w:spacing w:val="20"/>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2005</Words>
  <Characters>11431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Kirstin Huston</cp:lastModifiedBy>
  <cp:revision>2</cp:revision>
  <dcterms:created xsi:type="dcterms:W3CDTF">2025-07-24T18:17:00Z</dcterms:created>
  <dcterms:modified xsi:type="dcterms:W3CDTF">2025-07-24T18:17:00Z</dcterms:modified>
</cp:coreProperties>
</file>